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728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05"/>
        <w:gridCol w:w="6765"/>
        <w:gridCol w:w="7410"/>
        <w:tblGridChange w:id="0">
          <w:tblGrid>
            <w:gridCol w:w="3105"/>
            <w:gridCol w:w="6765"/>
            <w:gridCol w:w="7410"/>
          </w:tblGrid>
        </w:tblGridChange>
      </w:tblGrid>
      <w:tr>
        <w:trPr>
          <w:cantSplit w:val="0"/>
          <w:trHeight w:val="502.96875" w:hRule="atLeast"/>
          <w:tblHeader w:val="0"/>
        </w:trPr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CATEGORY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UNION OPENING PROPOSAL</w:t>
            </w:r>
          </w:p>
        </w:tc>
        <w:tc>
          <w:tcPr>
            <w:shd w:fill="4a86e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color w:val="ffffff"/>
                <w:sz w:val="22"/>
                <w:szCs w:val="22"/>
              </w:rPr>
            </w:pPr>
            <w:r w:rsidDel="00000000" w:rsidR="00000000" w:rsidRPr="00000000">
              <w:rPr>
                <w:b w:val="1"/>
                <w:color w:val="ffffff"/>
                <w:sz w:val="22"/>
                <w:szCs w:val="22"/>
                <w:rtl w:val="0"/>
              </w:rPr>
              <w:t xml:space="preserve">EMPLOYER PROPOSAL</w:t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WAGE INCREASES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18% ATB Increase effective 2/4/24</w:t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8% ATB Increase effective 8/1/24</w:t>
            </w:r>
          </w:p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8% ATB Increase effective 2/4/24</w:t>
            </w:r>
          </w:p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8% ATB Increase effective 8/1/25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5% ATB Increase effective 6/1/26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OVER TERM OF CONTRACT = 47%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2% ATB Increase Effective post-ratification </w:t>
            </w:r>
            <w:r w:rsidDel="00000000" w:rsidR="00000000" w:rsidRPr="00000000">
              <w:rPr>
                <w:b w:val="1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2% ATB increase upon first anniversary of ratification </w:t>
            </w:r>
          </w:p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1.75% ATB upon second anniversary of ratification </w:t>
            </w:r>
          </w:p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OVER TERM OF CONTRACT = 5.75%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5" w:line="250" w:lineRule="auto"/>
              <w:ind w:firstLine="1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STEP PROGRESSION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Add Step 12 at 30 years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3% increase between each step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COUNTER PROPOSAL/REJECTS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OCN DIFFERENTIAL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before="35" w:line="276" w:lineRule="auto"/>
              <w:rPr/>
            </w:pPr>
            <w:r w:rsidDel="00000000" w:rsidR="00000000" w:rsidRPr="00000000">
              <w:rPr>
                <w:rtl w:val="0"/>
              </w:rPr>
              <w:t xml:space="preserve">RNs who are </w:t>
            </w:r>
            <w:r w:rsidDel="00000000" w:rsidR="00000000" w:rsidRPr="00000000">
              <w:rPr>
                <w:rtl w:val="0"/>
              </w:rPr>
              <w:t xml:space="preserve">OCN certified</w:t>
            </w:r>
            <w:r w:rsidDel="00000000" w:rsidR="00000000" w:rsidRPr="00000000">
              <w:rPr>
                <w:rtl w:val="0"/>
              </w:rPr>
              <w:t xml:space="preserve"> shall receive a 5% differential in addition to their regular base pay</w:t>
            </w:r>
            <w:r w:rsidDel="00000000" w:rsidR="00000000" w:rsidRPr="00000000">
              <w:rPr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COUNTER PROPOSAL/REJECTS</w:t>
            </w:r>
          </w:p>
          <w:p w:rsidR="00000000" w:rsidDel="00000000" w:rsidP="00000000" w:rsidRDefault="00000000" w:rsidRPr="00000000" w14:paraId="0000001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SERVICE RECOGNITION</w:t>
            </w:r>
          </w:p>
        </w:tc>
        <w:tc>
          <w:tcPr/>
          <w:p w:rsidR="00000000" w:rsidDel="00000000" w:rsidP="00000000" w:rsidRDefault="00000000" w:rsidRPr="00000000" w14:paraId="0000001C">
            <w:pPr>
              <w:widowControl w:val="0"/>
              <w:spacing w:before="35" w:line="276" w:lineRule="auto"/>
              <w:rPr/>
            </w:pPr>
            <w:r w:rsidDel="00000000" w:rsidR="00000000" w:rsidRPr="00000000">
              <w:rPr>
                <w:rtl w:val="0"/>
              </w:rPr>
              <w:t xml:space="preserve">One-time bonus to recognize service:</w:t>
            </w:r>
          </w:p>
          <w:p w:rsidR="00000000" w:rsidDel="00000000" w:rsidP="00000000" w:rsidRDefault="00000000" w:rsidRPr="00000000" w14:paraId="0000001D">
            <w:pPr>
              <w:tabs>
                <w:tab w:val="center" w:leader="none" w:pos="2519"/>
                <w:tab w:val="center" w:leader="none" w:pos="4651"/>
              </w:tabs>
              <w:spacing w:after="56" w:line="271" w:lineRule="auto"/>
              <w:ind w:left="2430" w:hanging="1170"/>
              <w:rPr/>
            </w:pPr>
            <w:r w:rsidDel="00000000" w:rsidR="00000000" w:rsidRPr="00000000">
              <w:rPr>
                <w:rtl w:val="0"/>
              </w:rPr>
              <w:t xml:space="preserve">10 years service= $1000 </w:t>
            </w:r>
          </w:p>
          <w:p w:rsidR="00000000" w:rsidDel="00000000" w:rsidP="00000000" w:rsidRDefault="00000000" w:rsidRPr="00000000" w14:paraId="0000001E">
            <w:pPr>
              <w:tabs>
                <w:tab w:val="center" w:leader="none" w:pos="2519"/>
                <w:tab w:val="center" w:leader="none" w:pos="4651"/>
              </w:tabs>
              <w:spacing w:after="51" w:line="271" w:lineRule="auto"/>
              <w:ind w:left="2430" w:hanging="1170"/>
              <w:rPr/>
            </w:pPr>
            <w:r w:rsidDel="00000000" w:rsidR="00000000" w:rsidRPr="00000000">
              <w:rPr>
                <w:rtl w:val="0"/>
              </w:rPr>
              <w:t xml:space="preserve">20 years service= $2000 </w:t>
            </w:r>
          </w:p>
          <w:p w:rsidR="00000000" w:rsidDel="00000000" w:rsidP="00000000" w:rsidRDefault="00000000" w:rsidRPr="00000000" w14:paraId="0000001F">
            <w:pPr>
              <w:tabs>
                <w:tab w:val="center" w:leader="none" w:pos="2535"/>
                <w:tab w:val="center" w:leader="none" w:pos="4651"/>
              </w:tabs>
              <w:spacing w:after="56" w:line="271" w:lineRule="auto"/>
              <w:ind w:left="2430" w:hanging="1170"/>
              <w:rPr/>
            </w:pPr>
            <w:r w:rsidDel="00000000" w:rsidR="00000000" w:rsidRPr="00000000">
              <w:rPr>
                <w:rtl w:val="0"/>
              </w:rPr>
              <w:t xml:space="preserve">30 years service =$3000 </w:t>
            </w:r>
          </w:p>
          <w:p w:rsidR="00000000" w:rsidDel="00000000" w:rsidP="00000000" w:rsidRDefault="00000000" w:rsidRPr="00000000" w14:paraId="00000020">
            <w:pPr>
              <w:tabs>
                <w:tab w:val="center" w:leader="none" w:pos="2533"/>
                <w:tab w:val="center" w:leader="none" w:pos="4646"/>
              </w:tabs>
              <w:spacing w:after="56" w:line="271" w:lineRule="auto"/>
              <w:ind w:left="2430" w:hanging="1170"/>
              <w:rPr/>
            </w:pPr>
            <w:r w:rsidDel="00000000" w:rsidR="00000000" w:rsidRPr="00000000">
              <w:rPr>
                <w:rtl w:val="0"/>
              </w:rPr>
              <w:t xml:space="preserve">40 years service=$4000 </w:t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COUNTER PROPOSAL/REJECTS</w:t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tabs>
                <w:tab w:val="left" w:leader="none" w:pos="1819"/>
              </w:tabs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PAID TIME OFF (PTO)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highlight w:val="yellow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6560.0" w:type="dxa"/>
              <w:jc w:val="left"/>
              <w:tblLayout w:type="fixed"/>
              <w:tblLook w:val="0400"/>
            </w:tblPr>
            <w:tblGrid>
              <w:gridCol w:w="1860"/>
              <w:gridCol w:w="4700"/>
              <w:tblGridChange w:id="0">
                <w:tblGrid>
                  <w:gridCol w:w="1860"/>
                  <w:gridCol w:w="4700"/>
                </w:tblGrid>
              </w:tblGridChange>
            </w:tblGrid>
            <w:tr>
              <w:trPr>
                <w:cantSplit w:val="0"/>
                <w:trHeight w:val="600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4">
                  <w:pPr>
                    <w:ind w:left="0" w:firstLine="0"/>
                    <w:rPr/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Months of Service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5">
                  <w:pPr>
                    <w:ind w:left="52" w:firstLine="0"/>
                    <w:rPr/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Annual Accrual  </w:t>
                  </w: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26">
                  <w:pPr>
                    <w:ind w:left="592" w:firstLine="0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7">
                  <w:pPr>
                    <w:ind w:left="36" w:firstLine="0"/>
                    <w:rPr/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0-11 months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8">
                  <w:pPr>
                    <w:ind w:left="72" w:firstLine="0"/>
                    <w:rPr>
                      <w:color w:val="1d1d1d"/>
                    </w:rPr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33 days  PTO</w:t>
                  </w:r>
                </w:p>
              </w:tc>
            </w:tr>
            <w:tr>
              <w:trPr>
                <w:cantSplit w:val="0"/>
                <w:trHeight w:val="255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36" w:firstLine="0"/>
                    <w:rPr/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12-47 months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72" w:firstLine="0"/>
                    <w:rPr>
                      <w:color w:val="1d1d1d"/>
                    </w:rPr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38 days  PTO</w:t>
                  </w:r>
                </w:p>
              </w:tc>
            </w:tr>
            <w:tr>
              <w:trPr>
                <w:cantSplit w:val="0"/>
                <w:trHeight w:val="30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36" w:firstLine="0"/>
                    <w:rPr/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48-107 months</w:t>
                  </w:r>
                  <w:r w:rsidDel="00000000" w:rsidR="00000000" w:rsidRPr="00000000">
                    <w:rPr>
                      <w:rtl w:val="0"/>
                    </w:rPr>
                    <w:t xml:space="preserve"> </w:t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52" w:firstLine="0"/>
                    <w:rPr>
                      <w:color w:val="1d1d1d"/>
                    </w:rPr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43 days   PTO</w:t>
                  </w:r>
                </w:p>
              </w:tc>
            </w:tr>
            <w:tr>
              <w:trPr>
                <w:cantSplit w:val="0"/>
                <w:trHeight w:val="307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tabs>
                      <w:tab w:val="right" w:leader="none" w:pos="2746"/>
                    </w:tabs>
                    <w:ind w:right="-33"/>
                    <w:rPr/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 108th month </w:t>
                  </w:r>
                  <w:r w:rsidDel="00000000" w:rsidR="00000000" w:rsidRPr="00000000">
                    <w:rPr>
                      <w:rtl w:val="0"/>
                    </w:rPr>
                    <w:t xml:space="preserve">and above</w:t>
                    <w:tab/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52" w:firstLine="0"/>
                    <w:rPr>
                      <w:color w:val="ff0000"/>
                    </w:rPr>
                  </w:pPr>
                  <w:r w:rsidDel="00000000" w:rsidR="00000000" w:rsidRPr="00000000">
                    <w:rPr>
                      <w:color w:val="1d1d1d"/>
                      <w:rtl w:val="0"/>
                    </w:rPr>
                    <w:t xml:space="preserve">48 days P</w:t>
                  </w:r>
                  <w:r w:rsidDel="00000000" w:rsidR="00000000" w:rsidRPr="00000000">
                    <w:rPr>
                      <w:rtl w:val="0"/>
                    </w:rPr>
                    <w:t xml:space="preserve">TO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ACCEPTS INCREASE TO ACCRUAL, CLARIFIES LANGUAGE</w:t>
            </w:r>
          </w:p>
          <w:p w:rsidR="00000000" w:rsidDel="00000000" w:rsidP="00000000" w:rsidRDefault="00000000" w:rsidRPr="00000000" w14:paraId="00000031">
            <w:pPr>
              <w:rPr>
                <w:highlight w:val="gree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highlight w:val="green"/>
              </w:rPr>
            </w:pPr>
            <w:r w:rsidDel="00000000" w:rsidR="00000000" w:rsidRPr="00000000">
              <w:rPr>
                <w:highlight w:val="green"/>
                <w:rtl w:val="0"/>
              </w:rPr>
              <w:t xml:space="preserve">REJECTS ADDING ADDITIONAL ACCRUAL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HOLIDAYS </w:t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before="37" w:line="276" w:lineRule="auto"/>
              <w:ind w:right="367"/>
              <w:rPr>
                <w:b w:val="1"/>
              </w:rPr>
            </w:pPr>
            <w:r w:rsidDel="00000000" w:rsidR="00000000" w:rsidRPr="00000000">
              <w:rPr>
                <w:color w:val="1d1d1d"/>
                <w:rtl w:val="0"/>
              </w:rPr>
              <w:t xml:space="preserve">In the event a Registered Nurse is required to work on any of the recognized holidays, he/she shall receive </w:t>
            </w:r>
            <w:r w:rsidDel="00000000" w:rsidR="00000000" w:rsidRPr="00000000">
              <w:rPr>
                <w:color w:val="1d1d1d"/>
                <w:rtl w:val="0"/>
              </w:rPr>
              <w:t xml:space="preserve">double-time</w:t>
            </w:r>
            <w:r w:rsidDel="00000000" w:rsidR="00000000" w:rsidRPr="00000000">
              <w:rPr>
                <w:color w:val="1d1d1d"/>
                <w:rtl w:val="0"/>
              </w:rPr>
              <w:t xml:space="preserve"> </w:t>
            </w:r>
            <w:r w:rsidDel="00000000" w:rsidR="00000000" w:rsidRPr="00000000">
              <w:rPr>
                <w:color w:val="1d1d1d"/>
                <w:rtl w:val="0"/>
              </w:rPr>
              <w:t xml:space="preserve">(2x)</w:t>
            </w:r>
            <w:r w:rsidDel="00000000" w:rsidR="00000000" w:rsidRPr="00000000">
              <w:rPr>
                <w:color w:val="1d1d1d"/>
                <w:rtl w:val="0"/>
              </w:rPr>
              <w:t xml:space="preserve"> for New Year’s Eve, Christmas Eve, and Day After Thanksgiving, </w:t>
            </w:r>
            <w:r w:rsidDel="00000000" w:rsidR="00000000" w:rsidRPr="00000000">
              <w:rPr>
                <w:color w:val="1d1d1d"/>
                <w:rtl w:val="0"/>
              </w:rPr>
              <w:t xml:space="preserve">and time and one-half (1-1/2)</w:t>
            </w:r>
            <w:r w:rsidDel="00000000" w:rsidR="00000000" w:rsidRPr="00000000">
              <w:rPr>
                <w:color w:val="1d1d1d"/>
                <w:rtl w:val="0"/>
              </w:rPr>
              <w:t xml:space="preserve"> for all hours worked on </w:t>
            </w:r>
            <w:r w:rsidDel="00000000" w:rsidR="00000000" w:rsidRPr="00000000">
              <w:rPr>
                <w:color w:val="1d1d1d"/>
                <w:rtl w:val="0"/>
              </w:rPr>
              <w:t xml:space="preserve">all other holidays. Add 4 additional holidays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  <w:t xml:space="preserve">NO COUNTER PROPOSAL/REJECTS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2.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FSAs, Increasing employer retirement contributions, severance pay</w:t>
            </w:r>
          </w:p>
        </w:tc>
        <w:tc>
          <w:tcPr/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$2,000 employer contribution to FSAs</w:t>
            </w:r>
          </w:p>
          <w:p w:rsidR="00000000" w:rsidDel="00000000" w:rsidP="00000000" w:rsidRDefault="00000000" w:rsidRPr="00000000" w14:paraId="00000039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Increasing employer match for retirement to 6%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Severance pay based on years of service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1"/>
              </w:numPr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Certification reimbursement at $750/year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NO COUNTER PROPOSAL/REJECTS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pgSz w:h="12240" w:w="2016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59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 w:val="1"/>
    <w:rsid w:val="0016652F"/>
    <w:pPr>
      <w:keepNext w:val="1"/>
      <w:keepLines w:val="1"/>
      <w:spacing w:after="80" w:before="360" w:line="259" w:lineRule="auto"/>
      <w:outlineLvl w:val="0"/>
    </w:pPr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910D5C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odyText">
    <w:name w:val="Body Text"/>
    <w:basedOn w:val="Normal"/>
    <w:link w:val="BodyTextChar"/>
    <w:uiPriority w:val="1"/>
    <w:qFormat w:val="1"/>
    <w:rsid w:val="0016652F"/>
    <w:pPr>
      <w:widowControl w:val="0"/>
      <w:autoSpaceDE w:val="0"/>
      <w:autoSpaceDN w:val="0"/>
    </w:pPr>
    <w:rPr>
      <w:rFonts w:ascii="Arial" w:cs="Arial" w:eastAsia="Arial" w:hAnsi="Arial"/>
      <w:sz w:val="22"/>
      <w:szCs w:val="22"/>
    </w:rPr>
  </w:style>
  <w:style w:type="character" w:styleId="BodyTextChar" w:customStyle="1">
    <w:name w:val="Body Text Char"/>
    <w:basedOn w:val="DefaultParagraphFont"/>
    <w:link w:val="BodyText"/>
    <w:uiPriority w:val="1"/>
    <w:rsid w:val="0016652F"/>
    <w:rPr>
      <w:rFonts w:ascii="Arial" w:cs="Arial" w:eastAsia="Arial" w:hAnsi="Arial"/>
      <w:sz w:val="22"/>
      <w:szCs w:val="22"/>
    </w:rPr>
  </w:style>
  <w:style w:type="character" w:styleId="Heading1Char" w:customStyle="1">
    <w:name w:val="Heading 1 Char"/>
    <w:basedOn w:val="DefaultParagraphFont"/>
    <w:link w:val="Heading1"/>
    <w:rsid w:val="0016652F"/>
    <w:rPr>
      <w:rFonts w:asciiTheme="majorHAnsi" w:cstheme="majorBidi" w:eastAsiaTheme="majorEastAsia" w:hAnsiTheme="majorHAnsi"/>
      <w:color w:val="2f5496" w:themeColor="accent1" w:themeShade="0000BF"/>
      <w:kern w:val="2"/>
      <w:sz w:val="40"/>
      <w:szCs w:val="40"/>
    </w:rPr>
  </w:style>
  <w:style w:type="table" w:styleId="TableGrid0" w:customStyle="1">
    <w:name w:val="TableGrid"/>
    <w:rsid w:val="0016652F"/>
    <w:rPr>
      <w:rFonts w:eastAsiaTheme="minorEastAsia"/>
      <w:kern w:val="2"/>
    </w:rPr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ListParagraph">
    <w:name w:val="List Paragraph"/>
    <w:basedOn w:val="Normal"/>
    <w:link w:val="ListParagraphChar"/>
    <w:uiPriority w:val="1"/>
    <w:qFormat w:val="1"/>
    <w:rsid w:val="0016652F"/>
    <w:pPr>
      <w:spacing w:after="160" w:line="259" w:lineRule="auto"/>
      <w:ind w:left="720"/>
      <w:contextualSpacing w:val="1"/>
    </w:pPr>
    <w:rPr>
      <w:rFonts w:ascii="Calibri" w:cs="Calibri" w:eastAsia="Calibri" w:hAnsi="Calibri"/>
      <w:color w:val="000000"/>
      <w:kern w:val="2"/>
      <w:sz w:val="22"/>
    </w:rPr>
  </w:style>
  <w:style w:type="character" w:styleId="ListParagraphChar" w:customStyle="1">
    <w:name w:val="List Paragraph Char"/>
    <w:basedOn w:val="DefaultParagraphFont"/>
    <w:link w:val="ListParagraph"/>
    <w:uiPriority w:val="1"/>
    <w:locked w:val="1"/>
    <w:rsid w:val="0016652F"/>
    <w:rPr>
      <w:rFonts w:ascii="Calibri" w:cs="Calibri" w:eastAsia="Calibri" w:hAnsi="Calibri"/>
      <w:color w:val="000000"/>
      <w:kern w:val="2"/>
      <w:sz w:val="22"/>
    </w:rPr>
  </w:style>
  <w:style w:type="paragraph" w:styleId="Default" w:customStyle="1">
    <w:name w:val="Default"/>
    <w:rsid w:val="00371F65"/>
    <w:pPr>
      <w:autoSpaceDE w:val="0"/>
      <w:autoSpaceDN w:val="0"/>
      <w:adjustRightInd w:val="0"/>
    </w:pPr>
    <w:rPr>
      <w:rFonts w:ascii="Arial Narrow" w:cs="Arial Narrow" w:hAnsi="Arial Narrow"/>
      <w:color w:val="00000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6.0" w:type="dxa"/>
        <w:left w:w="33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pM7D4ErN2AN38zJi5RlG5U/3pw==">CgMxLjA4AHIhMUlVOXRoTG9iaWxtbzNmLWM2RGJyTlRzek50VmFkSmxn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2024-02-24T00:55:00Z</dcterms:created>
  <dc:creator>Jamie Thompson</dc:creator>
</cp:coreProperties>
</file>